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AI로 생각하고 표현하기 교육 제안서</w:t>
      </w:r>
    </w:p>
    <w:p>
      <w:r>
        <w:t>제안 기관  광진담쟁이협동조합     대상 기관  도서관·평생교육원 등 교육 운영기관</w:t>
      </w:r>
    </w:p>
    <w:p>
      <w:r>
        <w:t>본 제안서는 기관의 교육사업 검토와 내부 회람을 위한 기본안입니다. 대상 인원, 일정, 강사 배치, 장소, 예산은 담당 기관과 협의하여 확정합니다.</w:t>
      </w:r>
    </w:p>
    <w:p>
      <w:pPr>
        <w:pStyle w:val="Heading1"/>
      </w:pPr>
      <w:r>
        <w:t>교육 개요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01"/>
        <w:gridCol w:w="7992"/>
      </w:tblGrid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대상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청소년·가족·청소년 지도자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권장 운영기관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도서관·청소년센터·평생교육원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운영 시간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6회 × 2시간 · 총 12시간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진행 방법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질문 토론, 자료 검증, 글·시각 표현, 발표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목표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AI 답변을 비판적으로 검토하고 근거를 바탕으로 자신의 생각을 표현한다.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기대 결과물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주제별 주장 카드와 발표 자료</w:t>
            </w:r>
          </w:p>
        </w:tc>
      </w:tr>
    </w:tbl>
    <w:p>
      <w:pPr>
        <w:pStyle w:val="Heading1"/>
      </w:pPr>
      <w:r>
        <w:t>차시별 운영안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872"/>
        <w:gridCol w:w="6869"/>
      </w:tblGrid>
      <w:tr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차시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주제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강의 및 실습 내용 · 결과물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1회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좋은 질문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생활 속 문제를 질문으로 바꾸고 서로 다른 관점을 모은다.</w:t>
              <w:br/>
              <w:t>결과물  질문 카드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2회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근거 찾기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AI 답변과 확인 가능한 자료를 비교해 사실을 검증한다.</w:t>
              <w:br/>
              <w:t>결과물  근거표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3회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주장 세우기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주장·이유·사례를 연결하고 반론을 예상한다.</w:t>
              <w:br/>
              <w:t>결과물  주장 카드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4회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대화와 토론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AI가 제시한 반론을 검토하고 모둠 토론을 진행한다.</w:t>
              <w:br/>
              <w:t>결과물  토론 기록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5회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표현 제작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글·포스터·발표 자료로 자기 생각을 표현한다.</w:t>
              <w:br/>
              <w:t>결과물  표현물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6회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발표와 성찰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근거의 강도와 표현 방식을 점검하고 다시 쓴다.</w:t>
              <w:br/>
              <w:t>결과물  최종 발표</w:t>
            </w:r>
          </w:p>
        </w:tc>
      </w:tr>
    </w:tbl>
    <w:p>
      <w:pPr>
        <w:pStyle w:val="Heading1"/>
      </w:pPr>
      <w:r>
        <w:t>운영 및 협의 사항</w:t>
      </w:r>
    </w:p>
    <w:p>
      <w:r>
        <w:t>준비물 및 환경  개인 또는 모둠별 노트북, 인터넷 환경; 청소년 개인정보 입력 금지와 기관 이용 기준 사전 확인</w:t>
      </w:r>
    </w:p>
    <w:p>
      <w:r>
        <w:t>운영 방식  강사 시연 후 참여자가 직접 작업하고 회차마다 결과를 확인합니다. 참여자의 수준에 따라 속도와 예시를 조정합니다.</w:t>
      </w:r>
    </w:p>
    <w:p>
      <w:r>
        <w:t>성과 확인  출석과 회차별 결과물을 확인하고 최종 작품 또는 활용 계획을 공유합니다. 참여자 만족도와 학습 소감은 기관 양식에 맞춰 수집할 수 있습니다.</w:t>
      </w:r>
    </w:p>
    <w:p>
      <w:r>
        <w:t>협의 항목  모집 인원, 일정, 강사 인원, 장소·기기, 재료·인쇄비, 최종 결과물 형식, 예산 및 정산 서류는 별도 협의합니다. 이 문서는 확정 견적서가 아닙니다.</w:t>
      </w:r>
    </w:p>
    <w:p>
      <w:r>
        <w:t>문의  광진담쟁이협동조합  |  070 5088-1805  |  meeseon67@gmail.com  |  damjangi.com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광진담쟁이협동조합  ·  교육 제안서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Malgun Gothic" w:hAnsi="Malgun Gothic"/>
      <w:color w:val="141B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Malgun Gothic" w:hAnsi="Malgun Gothic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60"/>
      <w:contextualSpacing/>
    </w:pPr>
    <w:rPr>
      <w:rFonts w:asciiTheme="majorHAnsi" w:eastAsiaTheme="majorEastAsia" w:hAnsiTheme="majorHAnsi" w:cstheme="majorBidi" w:ascii="Malgun Gothic" w:hAnsi="Malgun Gothic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